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58DB" w14:textId="39723951" w:rsidR="0058788E" w:rsidRPr="0058788E" w:rsidRDefault="0058788E" w:rsidP="00110038">
      <w:pPr>
        <w:jc w:val="center"/>
        <w:rPr>
          <w:b/>
          <w:bCs/>
          <w:sz w:val="36"/>
          <w:szCs w:val="36"/>
          <w:lang w:val="en-US"/>
        </w:rPr>
      </w:pPr>
      <w:r w:rsidRPr="0058788E">
        <w:rPr>
          <w:b/>
          <w:sz w:val="36"/>
          <w:szCs w:val="36"/>
          <w:lang w:val="en-US"/>
        </w:rPr>
        <w:t xml:space="preserve">Silber TU </w:t>
      </w:r>
      <w:r>
        <w:rPr>
          <w:b/>
          <w:sz w:val="36"/>
          <w:szCs w:val="36"/>
          <w:lang w:val="en-US"/>
        </w:rPr>
        <w:t>AMERICAN WALTHAM WATCH</w:t>
      </w:r>
      <w:r w:rsidRPr="0058788E">
        <w:rPr>
          <w:b/>
          <w:sz w:val="36"/>
          <w:szCs w:val="36"/>
          <w:lang w:val="en-US"/>
        </w:rPr>
        <w:t xml:space="preserve"> um 1878 TOP </w:t>
      </w:r>
      <w:proofErr w:type="spellStart"/>
      <w:r>
        <w:rPr>
          <w:b/>
          <w:sz w:val="36"/>
          <w:szCs w:val="36"/>
          <w:lang w:val="en-US"/>
        </w:rPr>
        <w:t>mit</w:t>
      </w:r>
      <w:proofErr w:type="spellEnd"/>
      <w:r>
        <w:rPr>
          <w:b/>
          <w:sz w:val="36"/>
          <w:szCs w:val="36"/>
          <w:lang w:val="en-US"/>
        </w:rPr>
        <w:t xml:space="preserve"> </w:t>
      </w:r>
      <w:bookmarkStart w:id="0" w:name="_GoBack"/>
      <w:bookmarkEnd w:id="0"/>
      <w:proofErr w:type="spellStart"/>
      <w:r w:rsidRPr="0058788E">
        <w:rPr>
          <w:b/>
          <w:sz w:val="36"/>
          <w:szCs w:val="36"/>
          <w:lang w:val="en-US"/>
        </w:rPr>
        <w:t>Chatons</w:t>
      </w:r>
      <w:proofErr w:type="spellEnd"/>
    </w:p>
    <w:p w14:paraId="051F7820" w14:textId="77777777" w:rsidR="0058788E" w:rsidRPr="0058788E" w:rsidRDefault="0058788E" w:rsidP="0058788E">
      <w:pPr>
        <w:rPr>
          <w:b/>
          <w:bCs/>
          <w:sz w:val="36"/>
          <w:szCs w:val="36"/>
          <w:lang w:val="en-US"/>
        </w:rPr>
      </w:pPr>
    </w:p>
    <w:p w14:paraId="0630627A" w14:textId="5D02F16A" w:rsidR="001A5118" w:rsidRDefault="00110038" w:rsidP="00110038">
      <w:pPr>
        <w:jc w:val="center"/>
        <w:rPr>
          <w:b/>
          <w:sz w:val="36"/>
          <w:szCs w:val="36"/>
        </w:rPr>
      </w:pPr>
      <w:r w:rsidRPr="00110038">
        <w:rPr>
          <w:b/>
          <w:bCs/>
          <w:sz w:val="36"/>
          <w:szCs w:val="36"/>
        </w:rPr>
        <w:t xml:space="preserve">Silberne </w:t>
      </w:r>
      <w:r w:rsidRPr="00110038">
        <w:rPr>
          <w:b/>
          <w:sz w:val="36"/>
          <w:szCs w:val="36"/>
        </w:rPr>
        <w:t xml:space="preserve">American </w:t>
      </w:r>
      <w:proofErr w:type="spellStart"/>
      <w:r w:rsidRPr="00110038">
        <w:rPr>
          <w:b/>
          <w:sz w:val="36"/>
          <w:szCs w:val="36"/>
        </w:rPr>
        <w:t>Waltham</w:t>
      </w:r>
      <w:proofErr w:type="spellEnd"/>
      <w:r w:rsidRPr="00110038">
        <w:rPr>
          <w:b/>
          <w:sz w:val="36"/>
          <w:szCs w:val="36"/>
        </w:rPr>
        <w:t xml:space="preserve"> Watch Co TU </w:t>
      </w:r>
      <w:r w:rsidR="005D70AE">
        <w:rPr>
          <w:b/>
          <w:sz w:val="36"/>
          <w:szCs w:val="36"/>
        </w:rPr>
        <w:t xml:space="preserve">mit geschraubten </w:t>
      </w:r>
      <w:proofErr w:type="spellStart"/>
      <w:r w:rsidR="005D70AE">
        <w:rPr>
          <w:b/>
          <w:sz w:val="36"/>
          <w:szCs w:val="36"/>
        </w:rPr>
        <w:t>Chatons</w:t>
      </w:r>
      <w:proofErr w:type="spellEnd"/>
      <w:r w:rsidR="005D70AE">
        <w:rPr>
          <w:b/>
          <w:sz w:val="36"/>
          <w:szCs w:val="36"/>
        </w:rPr>
        <w:t xml:space="preserve"> um 1870/80</w:t>
      </w:r>
      <w:r w:rsidRPr="00110038">
        <w:rPr>
          <w:b/>
          <w:sz w:val="36"/>
          <w:szCs w:val="36"/>
        </w:rPr>
        <w:t xml:space="preserve"> </w:t>
      </w:r>
      <w:r w:rsidR="0058788E">
        <w:rPr>
          <w:b/>
          <w:sz w:val="36"/>
          <w:szCs w:val="36"/>
        </w:rPr>
        <w:t>–</w:t>
      </w:r>
      <w:r w:rsidRPr="00110038">
        <w:rPr>
          <w:b/>
          <w:sz w:val="36"/>
          <w:szCs w:val="36"/>
        </w:rPr>
        <w:t xml:space="preserve"> TOP</w:t>
      </w:r>
    </w:p>
    <w:p w14:paraId="7F3CD57B" w14:textId="77777777" w:rsidR="0058788E" w:rsidRPr="00110038" w:rsidRDefault="0058788E" w:rsidP="00110038">
      <w:pPr>
        <w:jc w:val="center"/>
        <w:rPr>
          <w:b/>
          <w:bCs/>
          <w:sz w:val="36"/>
          <w:szCs w:val="36"/>
        </w:rPr>
      </w:pPr>
    </w:p>
    <w:p w14:paraId="3E3CA4DB" w14:textId="119843F7" w:rsidR="001A5118" w:rsidRPr="003F3D5B" w:rsidRDefault="003F3D5B" w:rsidP="003F3D5B">
      <w:pPr>
        <w:jc w:val="center"/>
        <w:rPr>
          <w:b/>
          <w:bCs/>
          <w:sz w:val="36"/>
          <w:szCs w:val="36"/>
        </w:rPr>
      </w:pPr>
      <w:r w:rsidRPr="003F3D5B">
        <w:rPr>
          <w:b/>
          <w:bCs/>
          <w:sz w:val="36"/>
          <w:szCs w:val="36"/>
        </w:rPr>
        <w:t xml:space="preserve">Laut Seriennummer Herstellung zwischen </w:t>
      </w:r>
      <w:r>
        <w:rPr>
          <w:b/>
          <w:sz w:val="36"/>
          <w:szCs w:val="36"/>
        </w:rPr>
        <w:t>Dez</w:t>
      </w:r>
      <w:r w:rsidRPr="003F3D5B">
        <w:rPr>
          <w:b/>
          <w:sz w:val="36"/>
          <w:szCs w:val="36"/>
        </w:rPr>
        <w:t>ember 1877 - April 1878</w:t>
      </w:r>
    </w:p>
    <w:p w14:paraId="5D7DC370" w14:textId="3CBF75C8" w:rsidR="00110038" w:rsidRPr="00110038" w:rsidRDefault="00110038">
      <w:pPr>
        <w:rPr>
          <w:b/>
          <w:bCs/>
          <w:sz w:val="32"/>
          <w:szCs w:val="32"/>
        </w:rPr>
      </w:pPr>
    </w:p>
    <w:p w14:paraId="01A85747" w14:textId="36C9D62E" w:rsidR="00110038" w:rsidRDefault="00110038">
      <w:pPr>
        <w:rPr>
          <w:b/>
          <w:bCs/>
          <w:sz w:val="32"/>
          <w:szCs w:val="32"/>
        </w:rPr>
      </w:pPr>
      <w:r w:rsidRPr="00110038">
        <w:rPr>
          <w:b/>
          <w:bCs/>
          <w:sz w:val="32"/>
          <w:szCs w:val="32"/>
        </w:rPr>
        <w:t xml:space="preserve">Klassische historisch bedeutende </w:t>
      </w:r>
      <w:proofErr w:type="spellStart"/>
      <w:r w:rsidRPr="00110038">
        <w:rPr>
          <w:b/>
          <w:bCs/>
          <w:sz w:val="32"/>
          <w:szCs w:val="32"/>
        </w:rPr>
        <w:t>Waltham</w:t>
      </w:r>
      <w:proofErr w:type="spellEnd"/>
      <w:r w:rsidRPr="00110038">
        <w:rPr>
          <w:b/>
          <w:bCs/>
          <w:sz w:val="32"/>
          <w:szCs w:val="32"/>
        </w:rPr>
        <w:t xml:space="preserve"> TU komplett in Silber – alle </w:t>
      </w:r>
      <w:r>
        <w:rPr>
          <w:b/>
          <w:bCs/>
          <w:sz w:val="32"/>
          <w:szCs w:val="32"/>
        </w:rPr>
        <w:t>Gehäuseteile mehrfach gepunzt, auch der Staubdeckel,</w:t>
      </w:r>
    </w:p>
    <w:p w14:paraId="2B309B1A" w14:textId="77777777" w:rsidR="00FA1125" w:rsidRDefault="001100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Tolles </w:t>
      </w:r>
      <w:r w:rsidR="003F3D5B">
        <w:rPr>
          <w:b/>
          <w:bCs/>
          <w:sz w:val="32"/>
          <w:szCs w:val="32"/>
        </w:rPr>
        <w:t>gelb</w:t>
      </w:r>
      <w:r>
        <w:rPr>
          <w:b/>
          <w:bCs/>
          <w:sz w:val="32"/>
          <w:szCs w:val="32"/>
        </w:rPr>
        <w:t xml:space="preserve">vergoldetes sehr hochwertiges </w:t>
      </w:r>
      <w:r w:rsidR="0088640D">
        <w:rPr>
          <w:b/>
          <w:bCs/>
          <w:sz w:val="32"/>
          <w:szCs w:val="32"/>
        </w:rPr>
        <w:t xml:space="preserve">Manufaktur - </w:t>
      </w:r>
      <w:r w:rsidR="003F3D5B">
        <w:rPr>
          <w:b/>
          <w:bCs/>
          <w:sz w:val="32"/>
          <w:szCs w:val="32"/>
        </w:rPr>
        <w:t>Werk mit 5</w:t>
      </w:r>
      <w:r>
        <w:rPr>
          <w:b/>
          <w:bCs/>
          <w:sz w:val="32"/>
          <w:szCs w:val="32"/>
        </w:rPr>
        <w:t xml:space="preserve"> geschraubten </w:t>
      </w:r>
      <w:proofErr w:type="spellStart"/>
      <w:r>
        <w:rPr>
          <w:b/>
          <w:bCs/>
          <w:sz w:val="32"/>
          <w:szCs w:val="32"/>
        </w:rPr>
        <w:t>Chatons</w:t>
      </w:r>
      <w:proofErr w:type="spellEnd"/>
      <w:r>
        <w:rPr>
          <w:b/>
          <w:bCs/>
          <w:sz w:val="32"/>
          <w:szCs w:val="32"/>
        </w:rPr>
        <w:t xml:space="preserve"> mit gebläuten Schrauben</w:t>
      </w:r>
    </w:p>
    <w:p w14:paraId="70A3502A" w14:textId="47D8DA5B" w:rsidR="00110038" w:rsidRDefault="00FE1E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FA1125">
        <w:rPr>
          <w:b/>
          <w:bCs/>
          <w:sz w:val="32"/>
          <w:szCs w:val="32"/>
        </w:rPr>
        <w:t>[Modell 1874, 14 Size, 15</w:t>
      </w:r>
      <w:r w:rsidR="003F3D5B">
        <w:rPr>
          <w:b/>
          <w:bCs/>
          <w:sz w:val="32"/>
          <w:szCs w:val="32"/>
        </w:rPr>
        <w:t xml:space="preserve"> Steine, ¾ Platine</w:t>
      </w:r>
      <w:r w:rsidR="00FA1125">
        <w:rPr>
          <w:b/>
          <w:bCs/>
          <w:sz w:val="32"/>
          <w:szCs w:val="32"/>
        </w:rPr>
        <w:t>]</w:t>
      </w:r>
    </w:p>
    <w:p w14:paraId="42A3895E" w14:textId="0AF31983" w:rsidR="00110038" w:rsidRDefault="00110038">
      <w:pPr>
        <w:rPr>
          <w:b/>
          <w:bCs/>
          <w:sz w:val="32"/>
          <w:szCs w:val="32"/>
        </w:rPr>
      </w:pPr>
      <w:proofErr w:type="spellStart"/>
      <w:r w:rsidRPr="0058788E">
        <w:rPr>
          <w:b/>
          <w:bCs/>
          <w:sz w:val="32"/>
          <w:szCs w:val="32"/>
          <w:lang w:val="en-US"/>
        </w:rPr>
        <w:t>Signiert</w:t>
      </w:r>
      <w:proofErr w:type="spellEnd"/>
      <w:r w:rsidRPr="0058788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58788E">
        <w:rPr>
          <w:b/>
          <w:bCs/>
          <w:sz w:val="32"/>
          <w:szCs w:val="32"/>
          <w:lang w:val="en-US"/>
        </w:rPr>
        <w:t>Am.n</w:t>
      </w:r>
      <w:proofErr w:type="spellEnd"/>
      <w:r w:rsidRPr="0058788E">
        <w:rPr>
          <w:b/>
          <w:bCs/>
          <w:sz w:val="32"/>
          <w:szCs w:val="32"/>
          <w:lang w:val="en-US"/>
        </w:rPr>
        <w:t xml:space="preserve"> </w:t>
      </w:r>
      <w:r w:rsidR="00FE1E56" w:rsidRPr="0058788E">
        <w:rPr>
          <w:b/>
          <w:bCs/>
          <w:sz w:val="32"/>
          <w:szCs w:val="32"/>
          <w:lang w:val="en-US"/>
        </w:rPr>
        <w:t xml:space="preserve">Watch Co. </w:t>
      </w:r>
      <w:proofErr w:type="spellStart"/>
      <w:r w:rsidR="00FE1E56">
        <w:rPr>
          <w:b/>
          <w:bCs/>
          <w:sz w:val="32"/>
          <w:szCs w:val="32"/>
        </w:rPr>
        <w:t>Waltham</w:t>
      </w:r>
      <w:proofErr w:type="spellEnd"/>
      <w:r w:rsidR="00FE1E56">
        <w:rPr>
          <w:b/>
          <w:bCs/>
          <w:sz w:val="32"/>
          <w:szCs w:val="32"/>
        </w:rPr>
        <w:t xml:space="preserve"> </w:t>
      </w:r>
      <w:proofErr w:type="spellStart"/>
      <w:r w:rsidR="00FE1E56">
        <w:rPr>
          <w:b/>
          <w:bCs/>
          <w:sz w:val="32"/>
          <w:szCs w:val="32"/>
        </w:rPr>
        <w:t>Mass</w:t>
      </w:r>
      <w:proofErr w:type="spellEnd"/>
      <w:r w:rsidR="00FE1E56">
        <w:rPr>
          <w:b/>
          <w:bCs/>
          <w:sz w:val="32"/>
          <w:szCs w:val="32"/>
        </w:rPr>
        <w:t xml:space="preserve">. Nr. 985775, Patent </w:t>
      </w:r>
      <w:proofErr w:type="spellStart"/>
      <w:r w:rsidR="00FE1E56">
        <w:rPr>
          <w:b/>
          <w:bCs/>
          <w:sz w:val="32"/>
          <w:szCs w:val="32"/>
        </w:rPr>
        <w:t>Pinion</w:t>
      </w:r>
      <w:proofErr w:type="spellEnd"/>
      <w:r w:rsidR="00FE1E56">
        <w:rPr>
          <w:b/>
          <w:bCs/>
          <w:sz w:val="32"/>
          <w:szCs w:val="32"/>
        </w:rPr>
        <w:t xml:space="preserve">., unterhalb der Unruh weiter zu erkennen: </w:t>
      </w:r>
      <w:proofErr w:type="spellStart"/>
      <w:r w:rsidR="00FE1E56">
        <w:rPr>
          <w:b/>
          <w:bCs/>
          <w:sz w:val="32"/>
          <w:szCs w:val="32"/>
        </w:rPr>
        <w:t>Woerd’s</w:t>
      </w:r>
      <w:proofErr w:type="spellEnd"/>
      <w:r w:rsidR="00FE1E56">
        <w:rPr>
          <w:b/>
          <w:bCs/>
          <w:sz w:val="32"/>
          <w:szCs w:val="32"/>
        </w:rPr>
        <w:t xml:space="preserve"> Patents</w:t>
      </w:r>
    </w:p>
    <w:p w14:paraId="595E2CCE" w14:textId="1926DC5F" w:rsidR="0088640D" w:rsidRDefault="008864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Diverse Stempel auf den Silber Deckeln – vermutlich 925er Sterlingsilber </w:t>
      </w:r>
    </w:p>
    <w:p w14:paraId="58447CDA" w14:textId="5922F91E" w:rsidR="0088640D" w:rsidRDefault="008864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A.L.D, laufender Löwe und kleines e, des </w:t>
      </w:r>
      <w:proofErr w:type="spellStart"/>
      <w:proofErr w:type="gramStart"/>
      <w:r>
        <w:rPr>
          <w:b/>
          <w:bCs/>
          <w:sz w:val="32"/>
          <w:szCs w:val="32"/>
        </w:rPr>
        <w:t>weiteren</w:t>
      </w:r>
      <w:proofErr w:type="spellEnd"/>
      <w:proofErr w:type="gramEnd"/>
      <w:r>
        <w:rPr>
          <w:b/>
          <w:bCs/>
          <w:sz w:val="32"/>
          <w:szCs w:val="32"/>
        </w:rPr>
        <w:t xml:space="preserve"> ein Anker…</w:t>
      </w:r>
    </w:p>
    <w:p w14:paraId="62072E6C" w14:textId="31E7591F" w:rsidR="0088640D" w:rsidRDefault="0088640D" w:rsidP="0088640D">
      <w:pPr>
        <w:pStyle w:val="StandardWeb"/>
        <w:rPr>
          <w:b/>
        </w:rPr>
      </w:pPr>
      <w:r w:rsidRPr="0088640D">
        <w:rPr>
          <w:b/>
        </w:rPr>
        <w:t>Das bekannteste Beispiel für die Marke mit dem</w:t>
      </w:r>
      <w:r w:rsidRPr="0088640D">
        <w:rPr>
          <w:b/>
          <w:bCs/>
        </w:rPr>
        <w:t xml:space="preserve"> „Laufenden Löwen“</w:t>
      </w:r>
      <w:r w:rsidRPr="0088640D">
        <w:rPr>
          <w:b/>
        </w:rPr>
        <w:t xml:space="preserve"> ist der </w:t>
      </w:r>
      <w:r w:rsidRPr="0088640D">
        <w:rPr>
          <w:b/>
          <w:bCs/>
        </w:rPr>
        <w:t>„Lion</w:t>
      </w:r>
      <w:r w:rsidRPr="0088640D">
        <w:rPr>
          <w:b/>
        </w:rPr>
        <w:t xml:space="preserve"> </w:t>
      </w:r>
      <w:r w:rsidRPr="0088640D">
        <w:rPr>
          <w:b/>
          <w:bCs/>
        </w:rPr>
        <w:t>Passant“,</w:t>
      </w:r>
      <w:r w:rsidRPr="0088640D">
        <w:rPr>
          <w:b/>
        </w:rPr>
        <w:t xml:space="preserve"> die traditionsreiche englische Feingehaltsmarke, die seit 1544 auf englischen Silberobjekten den Silberfeingehalt von 925/1000, das sogenannte Sterlingsilber garantiert.</w:t>
      </w:r>
      <w:r w:rsidRPr="0088640D">
        <w:rPr>
          <w:b/>
        </w:rPr>
        <w:br/>
        <w:t xml:space="preserve">Hier noch einmal eine englische Markenreihe, wichtig – der Kopf des </w:t>
      </w:r>
      <w:r w:rsidRPr="0088640D">
        <w:rPr>
          <w:b/>
          <w:bCs/>
        </w:rPr>
        <w:t xml:space="preserve">„Laufenden Löwen“ </w:t>
      </w:r>
      <w:r w:rsidRPr="0088640D">
        <w:rPr>
          <w:b/>
        </w:rPr>
        <w:t>zeigt immer! nach links. Er wird ergänzt durch die Stadtmarke, den Jahresbuchstaben und in den meisten Fällen, die Meistermarke. Hier zwei Markenreihen- Beispiele mit der Stadt Birmingham, die als ihr Symbol den Anker trägt.</w:t>
      </w:r>
    </w:p>
    <w:p w14:paraId="1352C74B" w14:textId="77777777" w:rsidR="0088640D" w:rsidRPr="0088640D" w:rsidRDefault="0088640D" w:rsidP="0088640D">
      <w:pPr>
        <w:pStyle w:val="StandardWeb"/>
        <w:rPr>
          <w:b/>
        </w:rPr>
      </w:pPr>
    </w:p>
    <w:p w14:paraId="1EA0ECB1" w14:textId="311C9E08" w:rsidR="0088640D" w:rsidRDefault="0088640D">
      <w:pPr>
        <w:rPr>
          <w:b/>
          <w:bCs/>
          <w:sz w:val="32"/>
          <w:szCs w:val="32"/>
        </w:rPr>
      </w:pPr>
      <w:r>
        <w:rPr>
          <w:noProof/>
          <w:lang w:eastAsia="de-DE"/>
        </w:rPr>
        <w:lastRenderedPageBreak/>
        <w:drawing>
          <wp:inline distT="0" distB="0" distL="0" distR="0" wp14:anchorId="33793101" wp14:editId="0A59C664">
            <wp:extent cx="3810000" cy="1303020"/>
            <wp:effectExtent l="0" t="0" r="0" b="0"/>
            <wp:docPr id="1" name="Grafik 1" descr="Englische-Markenrei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ische-Markenrei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E05FE" w14:textId="77777777" w:rsidR="0088640D" w:rsidRPr="0088640D" w:rsidRDefault="0088640D">
      <w:pPr>
        <w:rPr>
          <w:b/>
          <w:bCs/>
          <w:sz w:val="36"/>
          <w:szCs w:val="36"/>
        </w:rPr>
      </w:pPr>
    </w:p>
    <w:p w14:paraId="76396918" w14:textId="216C92A4" w:rsidR="00110038" w:rsidRDefault="0088640D">
      <w:pPr>
        <w:rPr>
          <w:b/>
          <w:bCs/>
          <w:sz w:val="36"/>
          <w:szCs w:val="36"/>
        </w:rPr>
      </w:pPr>
      <w:r w:rsidRPr="0088640D">
        <w:rPr>
          <w:b/>
          <w:bCs/>
          <w:sz w:val="36"/>
          <w:szCs w:val="36"/>
        </w:rPr>
        <w:t xml:space="preserve">Schöne Original Zwiebelkrone – darunter </w:t>
      </w:r>
      <w:r w:rsidR="00FA1125">
        <w:rPr>
          <w:b/>
          <w:bCs/>
          <w:sz w:val="36"/>
          <w:szCs w:val="36"/>
        </w:rPr>
        <w:t>ebenfalls eine S</w:t>
      </w:r>
      <w:r w:rsidRPr="0088640D">
        <w:rPr>
          <w:b/>
          <w:bCs/>
          <w:sz w:val="36"/>
          <w:szCs w:val="36"/>
        </w:rPr>
        <w:t>ilberpunze – Löwe und f</w:t>
      </w:r>
    </w:p>
    <w:p w14:paraId="07250D6E" w14:textId="67BD9741" w:rsidR="0088640D" w:rsidRDefault="0088640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Sehr gut erhaltenes Emailzifferblatt mit römischen Ziffern, kleine </w:t>
      </w:r>
      <w:r w:rsidR="00FA1125">
        <w:rPr>
          <w:b/>
          <w:bCs/>
          <w:sz w:val="36"/>
          <w:szCs w:val="36"/>
        </w:rPr>
        <w:t xml:space="preserve">tiefe </w:t>
      </w:r>
      <w:r>
        <w:rPr>
          <w:b/>
          <w:bCs/>
          <w:sz w:val="36"/>
          <w:szCs w:val="36"/>
        </w:rPr>
        <w:t xml:space="preserve">Sekunde auf 6 Uhr – </w:t>
      </w:r>
      <w:proofErr w:type="spellStart"/>
      <w:r>
        <w:rPr>
          <w:b/>
          <w:bCs/>
          <w:sz w:val="36"/>
          <w:szCs w:val="36"/>
        </w:rPr>
        <w:t>Echtglas</w:t>
      </w:r>
      <w:proofErr w:type="spellEnd"/>
      <w:r>
        <w:rPr>
          <w:b/>
          <w:bCs/>
          <w:sz w:val="36"/>
          <w:szCs w:val="36"/>
        </w:rPr>
        <w:t xml:space="preserve"> ebenfalls in guter Erhaltung…</w:t>
      </w:r>
    </w:p>
    <w:p w14:paraId="5C5D5D95" w14:textId="51646C2E" w:rsidR="003F3D5B" w:rsidRDefault="003F3D5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Zeigerstellung durch Öffnung am Zifferblattdeckel und Hebel zwischen 12 und 1 Uhr – noch keine Kronenverstellung!!!</w:t>
      </w:r>
    </w:p>
    <w:p w14:paraId="07FA2E20" w14:textId="58B84066" w:rsidR="0088640D" w:rsidRDefault="0088640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Geriffeltes </w:t>
      </w:r>
      <w:r w:rsidR="003F3D5B">
        <w:rPr>
          <w:b/>
          <w:bCs/>
          <w:sz w:val="36"/>
          <w:szCs w:val="36"/>
        </w:rPr>
        <w:t xml:space="preserve">bzw.- </w:t>
      </w:r>
      <w:r w:rsidR="003F3D5B">
        <w:rPr>
          <w:b/>
          <w:iCs/>
          <w:sz w:val="36"/>
          <w:szCs w:val="36"/>
        </w:rPr>
        <w:t>g</w:t>
      </w:r>
      <w:r w:rsidR="003F3D5B" w:rsidRPr="003F3D5B">
        <w:rPr>
          <w:b/>
          <w:iCs/>
          <w:sz w:val="36"/>
          <w:szCs w:val="36"/>
        </w:rPr>
        <w:t>uillochiertes</w:t>
      </w:r>
      <w:r w:rsidR="003F3D5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Gehäuse mit Monogrammwappen auf der Rückseite – keine Gravur darin…</w:t>
      </w:r>
    </w:p>
    <w:p w14:paraId="2F8B6BD0" w14:textId="12B3CD7A" w:rsidR="003F3D5B" w:rsidRDefault="003F3D5B">
      <w:pPr>
        <w:rPr>
          <w:b/>
          <w:bCs/>
          <w:sz w:val="36"/>
          <w:szCs w:val="36"/>
        </w:rPr>
      </w:pPr>
    </w:p>
    <w:p w14:paraId="3EA3D64D" w14:textId="3BF7E2F6" w:rsidR="001A5118" w:rsidRPr="00FA1125" w:rsidRDefault="003F3D5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Alles in Allem ein sehr schönes Exemplar Uhrgeschichte mit einem feinen hochwertigem Manufakturwerk in guter bis sehr guter Erhaltung – etwas für Liebhaber und Kenner – volle funktionstüchtig – Revision wie immer empfohlen</w:t>
      </w:r>
      <w:r w:rsidR="00FA1125">
        <w:rPr>
          <w:b/>
          <w:bCs/>
          <w:sz w:val="36"/>
          <w:szCs w:val="36"/>
        </w:rPr>
        <w:t>…</w:t>
      </w:r>
    </w:p>
    <w:p w14:paraId="5BE5A211" w14:textId="77777777" w:rsidR="001A5118" w:rsidRDefault="001A5118">
      <w:pPr>
        <w:rPr>
          <w:b/>
          <w:bCs/>
        </w:rPr>
      </w:pPr>
    </w:p>
    <w:p w14:paraId="0A7B1728" w14:textId="6406F2C9" w:rsidR="001A5118" w:rsidRPr="00FA1125" w:rsidRDefault="00110038">
      <w:pPr>
        <w:rPr>
          <w:rFonts w:cstheme="minorHAnsi"/>
          <w:b/>
          <w:bCs/>
          <w:sz w:val="28"/>
          <w:szCs w:val="28"/>
          <w:u w:val="single"/>
        </w:rPr>
      </w:pPr>
      <w:r w:rsidRPr="00FA1125">
        <w:rPr>
          <w:rFonts w:cstheme="minorHAnsi"/>
          <w:b/>
          <w:bCs/>
          <w:sz w:val="28"/>
          <w:szCs w:val="28"/>
          <w:u w:val="single"/>
        </w:rPr>
        <w:t>Etwas zur Geschichte</w:t>
      </w:r>
      <w:r w:rsidR="00FE1E56" w:rsidRPr="00FA1125">
        <w:rPr>
          <w:rFonts w:cstheme="minorHAnsi"/>
          <w:b/>
          <w:bCs/>
          <w:sz w:val="28"/>
          <w:szCs w:val="28"/>
          <w:u w:val="single"/>
        </w:rPr>
        <w:t xml:space="preserve"> 1851-1957</w:t>
      </w:r>
      <w:r w:rsidRPr="00FA1125">
        <w:rPr>
          <w:rFonts w:cstheme="minorHAnsi"/>
          <w:b/>
          <w:bCs/>
          <w:sz w:val="28"/>
          <w:szCs w:val="28"/>
          <w:u w:val="single"/>
        </w:rPr>
        <w:t>:</w:t>
      </w:r>
    </w:p>
    <w:p w14:paraId="71DC0649" w14:textId="18BC8F8F" w:rsidR="007271D4" w:rsidRPr="00FA1125" w:rsidRDefault="001A5118">
      <w:pPr>
        <w:rPr>
          <w:rFonts w:cstheme="minorHAnsi"/>
          <w:b/>
          <w:sz w:val="28"/>
          <w:szCs w:val="28"/>
        </w:rPr>
      </w:pPr>
      <w:proofErr w:type="spellStart"/>
      <w:r w:rsidRPr="00FA1125">
        <w:rPr>
          <w:rFonts w:cstheme="minorHAnsi"/>
          <w:b/>
          <w:bCs/>
          <w:sz w:val="28"/>
          <w:szCs w:val="28"/>
        </w:rPr>
        <w:t>Waltham</w:t>
      </w:r>
      <w:proofErr w:type="spellEnd"/>
      <w:r w:rsidRPr="00FA1125">
        <w:rPr>
          <w:rFonts w:cstheme="minorHAnsi"/>
          <w:b/>
          <w:bCs/>
          <w:sz w:val="28"/>
          <w:szCs w:val="28"/>
        </w:rPr>
        <w:t xml:space="preserve"> Watch Company</w:t>
      </w:r>
      <w:r w:rsidRPr="00FA1125">
        <w:rPr>
          <w:rFonts w:cstheme="minorHAnsi"/>
          <w:b/>
          <w:sz w:val="28"/>
          <w:szCs w:val="28"/>
        </w:rPr>
        <w:t xml:space="preserve"> war ein US-amerikanischer Uhrenhersteller. In über 100 Jahren des Bestehens wurden ca. 40 Millionen Armband-, Stand- und Wanduhren, Tachometer, Kompasse, Zeitzünder und andere Präzisionsinstrumente von höchster Qualität hergestellt. Es besteht keine Verbindung zu den unabhängigen, ehemaligen Fahrrad-, Motorrad- und </w:t>
      </w:r>
      <w:r w:rsidRPr="00FA1125">
        <w:rPr>
          <w:rFonts w:cstheme="minorHAnsi"/>
          <w:b/>
          <w:sz w:val="28"/>
          <w:szCs w:val="28"/>
        </w:rPr>
        <w:lastRenderedPageBreak/>
        <w:t xml:space="preserve">Automobilherstellern </w:t>
      </w:r>
      <w:proofErr w:type="spellStart"/>
      <w:r w:rsidRPr="00FA1125">
        <w:rPr>
          <w:rFonts w:cstheme="minorHAnsi"/>
          <w:b/>
          <w:sz w:val="28"/>
          <w:szCs w:val="28"/>
        </w:rPr>
        <w:t>Waltham</w:t>
      </w:r>
      <w:proofErr w:type="spellEnd"/>
      <w:r w:rsidRPr="00FA1125">
        <w:rPr>
          <w:rFonts w:cstheme="minorHAnsi"/>
          <w:b/>
          <w:sz w:val="28"/>
          <w:szCs w:val="28"/>
        </w:rPr>
        <w:t xml:space="preserve"> Manufacturing Company, und American </w:t>
      </w:r>
      <w:proofErr w:type="spellStart"/>
      <w:r w:rsidRPr="00FA1125">
        <w:rPr>
          <w:rFonts w:cstheme="minorHAnsi"/>
          <w:b/>
          <w:sz w:val="28"/>
          <w:szCs w:val="28"/>
        </w:rPr>
        <w:t>Waltham</w:t>
      </w:r>
      <w:proofErr w:type="spellEnd"/>
      <w:r w:rsidRPr="00FA1125">
        <w:rPr>
          <w:rFonts w:cstheme="minorHAnsi"/>
          <w:b/>
          <w:sz w:val="28"/>
          <w:szCs w:val="28"/>
        </w:rPr>
        <w:t xml:space="preserve"> Manufacturing Company und </w:t>
      </w:r>
      <w:proofErr w:type="spellStart"/>
      <w:r w:rsidR="00110038" w:rsidRPr="00FA1125">
        <w:rPr>
          <w:rFonts w:cstheme="minorHAnsi"/>
          <w:b/>
          <w:sz w:val="28"/>
          <w:szCs w:val="28"/>
        </w:rPr>
        <w:t>Waltham</w:t>
      </w:r>
      <w:proofErr w:type="spellEnd"/>
      <w:r w:rsidRPr="00FA1125">
        <w:rPr>
          <w:rFonts w:cstheme="minorHAnsi"/>
          <w:b/>
          <w:sz w:val="28"/>
          <w:szCs w:val="28"/>
        </w:rPr>
        <w:t xml:space="preserve"> Automobile Company.</w:t>
      </w:r>
      <w:r w:rsidR="00110038" w:rsidRPr="00FA1125">
        <w:rPr>
          <w:rFonts w:cstheme="minorHAnsi"/>
          <w:b/>
          <w:sz w:val="28"/>
          <w:szCs w:val="28"/>
        </w:rPr>
        <w:t xml:space="preserve"> </w:t>
      </w:r>
    </w:p>
    <w:p w14:paraId="7B1D54CF" w14:textId="2F4B8342" w:rsidR="001A5118" w:rsidRPr="00FA1125" w:rsidRDefault="001A5118">
      <w:pPr>
        <w:rPr>
          <w:rFonts w:cstheme="minorHAnsi"/>
          <w:b/>
          <w:sz w:val="28"/>
          <w:szCs w:val="28"/>
        </w:rPr>
      </w:pPr>
    </w:p>
    <w:p w14:paraId="572B630E" w14:textId="77777777" w:rsidR="001A5118" w:rsidRPr="00FA1125" w:rsidRDefault="001A5118" w:rsidP="001A5118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FA1125">
        <w:rPr>
          <w:rFonts w:asciiTheme="minorHAnsi" w:hAnsiTheme="minorHAnsi" w:cstheme="minorHAnsi"/>
          <w:b/>
          <w:sz w:val="28"/>
          <w:szCs w:val="28"/>
        </w:rPr>
        <w:t xml:space="preserve">Im Jahre 1885 wurde die Firma in „American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Co.“ (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AWWCo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>) geändert. In den folgenden 32 Jahren wurde dieser Name beibehalten.</w:t>
      </w:r>
    </w:p>
    <w:p w14:paraId="3683E462" w14:textId="6E31EF30" w:rsidR="001A5118" w:rsidRPr="00FA1125" w:rsidRDefault="001A5118" w:rsidP="001A5118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FA1125">
        <w:rPr>
          <w:rFonts w:asciiTheme="minorHAnsi" w:hAnsiTheme="minorHAnsi" w:cstheme="minorHAnsi"/>
          <w:b/>
          <w:sz w:val="28"/>
          <w:szCs w:val="28"/>
        </w:rPr>
        <w:t xml:space="preserve">1898 führte die American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Company ihre neue Modell 99 / Size 16 Uhr ein. Total wurden 500.000 Uhren hergestellt.</w:t>
      </w:r>
    </w:p>
    <w:p w14:paraId="7CDD4456" w14:textId="36403D74" w:rsidR="001A5118" w:rsidRPr="00FA1125" w:rsidRDefault="001A5118" w:rsidP="001A5118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FA1125">
        <w:rPr>
          <w:rFonts w:asciiTheme="minorHAnsi" w:hAnsiTheme="minorHAnsi" w:cstheme="minorHAnsi"/>
          <w:b/>
          <w:sz w:val="28"/>
          <w:szCs w:val="28"/>
        </w:rPr>
        <w:t>1917 erfolgt erneut eine Umfirmierung in „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Co.“ (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WWCo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>), im Jahr 1923 dann in „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and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Clock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Company“ und schließlich 1925 in „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Company“ (WWC). Von der Canadian Pacific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Railway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erhielt die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Company den Auftrag, zwei hochwertige Arten von Taschenuhren herzustellen. Der größere Posten ist gekennzeichnet durch das auf dem Werk eingravierte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shield</w:t>
      </w:r>
      <w:proofErr w:type="spellEnd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and</w:t>
      </w:r>
      <w:proofErr w:type="spellEnd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beaver</w:t>
      </w:r>
      <w:proofErr w:type="spellEnd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emblem</w:t>
      </w:r>
      <w:proofErr w:type="spellEnd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of</w:t>
      </w:r>
      <w:proofErr w:type="spellEnd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the</w:t>
      </w:r>
      <w:proofErr w:type="spellEnd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</w:t>
      </w:r>
      <w:proofErr w:type="spellStart"/>
      <w:r w:rsidRPr="00FA1125">
        <w:rPr>
          <w:rFonts w:asciiTheme="minorHAnsi" w:hAnsiTheme="minorHAnsi" w:cstheme="minorHAnsi"/>
          <w:b/>
          <w:i/>
          <w:iCs/>
          <w:sz w:val="28"/>
          <w:szCs w:val="28"/>
        </w:rPr>
        <w:t>Railway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und wird heute als „CPR“-Typ (</w:t>
      </w:r>
      <w:r w:rsidRPr="00FA1125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FA1125">
        <w:rPr>
          <w:rFonts w:asciiTheme="minorHAnsi" w:hAnsiTheme="minorHAnsi" w:cstheme="minorHAnsi"/>
          <w:b/>
          <w:sz w:val="28"/>
          <w:szCs w:val="28"/>
        </w:rPr>
        <w:t xml:space="preserve">anadian </w:t>
      </w:r>
      <w:r w:rsidRPr="00FA1125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FA1125">
        <w:rPr>
          <w:rFonts w:asciiTheme="minorHAnsi" w:hAnsiTheme="minorHAnsi" w:cstheme="minorHAnsi"/>
          <w:b/>
          <w:sz w:val="28"/>
          <w:szCs w:val="28"/>
        </w:rPr>
        <w:t xml:space="preserve">acific </w:t>
      </w:r>
      <w:r w:rsidRPr="00FA1125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FA1125">
        <w:rPr>
          <w:rFonts w:asciiTheme="minorHAnsi" w:hAnsiTheme="minorHAnsi" w:cstheme="minorHAnsi"/>
          <w:b/>
          <w:sz w:val="28"/>
          <w:szCs w:val="28"/>
        </w:rPr>
        <w:t>ailway-Typ) bezeichnet. Die zweite Gruppe hat den Schriftzug „CRT“ (</w:t>
      </w:r>
      <w:r w:rsidRPr="00FA1125">
        <w:rPr>
          <w:rFonts w:asciiTheme="minorHAnsi" w:hAnsiTheme="minorHAnsi" w:cstheme="minorHAnsi"/>
          <w:b/>
          <w:bCs/>
          <w:sz w:val="28"/>
          <w:szCs w:val="28"/>
        </w:rPr>
        <w:t>C</w:t>
      </w:r>
      <w:r w:rsidRPr="00FA1125">
        <w:rPr>
          <w:rFonts w:asciiTheme="minorHAnsi" w:hAnsiTheme="minorHAnsi" w:cstheme="minorHAnsi"/>
          <w:b/>
          <w:sz w:val="28"/>
          <w:szCs w:val="28"/>
        </w:rPr>
        <w:t xml:space="preserve">anadian </w:t>
      </w:r>
      <w:r w:rsidRPr="00FA1125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FA1125">
        <w:rPr>
          <w:rFonts w:asciiTheme="minorHAnsi" w:hAnsiTheme="minorHAnsi" w:cstheme="minorHAnsi"/>
          <w:b/>
          <w:sz w:val="28"/>
          <w:szCs w:val="28"/>
        </w:rPr>
        <w:t xml:space="preserve">ailway </w:t>
      </w:r>
      <w:r w:rsidRPr="00FA1125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Pr="00FA1125">
        <w:rPr>
          <w:rFonts w:asciiTheme="minorHAnsi" w:hAnsiTheme="minorHAnsi" w:cstheme="minorHAnsi"/>
          <w:b/>
          <w:sz w:val="28"/>
          <w:szCs w:val="28"/>
        </w:rPr>
        <w:t xml:space="preserve">ime Service) auf dem Werk eingraviert. Beide Arten dieser Eisenbahneruhren sind heute begehrte Sammlerstücke. Am 28. Dezember 1948 musste die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Company Bankrott anmelden.</w:t>
      </w:r>
    </w:p>
    <w:p w14:paraId="4F93950C" w14:textId="4F69CBA6" w:rsidR="001A5118" w:rsidRPr="00FA1125" w:rsidRDefault="001A5118" w:rsidP="001A5118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FA1125">
        <w:rPr>
          <w:rFonts w:asciiTheme="minorHAnsi" w:hAnsiTheme="minorHAnsi" w:cstheme="minorHAnsi"/>
          <w:b/>
          <w:sz w:val="28"/>
          <w:szCs w:val="28"/>
        </w:rPr>
        <w:t xml:space="preserve">1957 wurde die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Watch Company in den USA geschlossen. Die 1954 in der Schweiz von 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 xml:space="preserve"> International gegründete Niederlassung vertreibt weiterhin in der Schweiz hergestellte Uhren unter dem Label „</w:t>
      </w:r>
      <w:proofErr w:type="spellStart"/>
      <w:r w:rsidRPr="00FA1125">
        <w:rPr>
          <w:rFonts w:asciiTheme="minorHAnsi" w:hAnsiTheme="minorHAnsi" w:cstheme="minorHAnsi"/>
          <w:b/>
          <w:sz w:val="28"/>
          <w:szCs w:val="28"/>
        </w:rPr>
        <w:t>Waltham</w:t>
      </w:r>
      <w:proofErr w:type="spellEnd"/>
      <w:r w:rsidRPr="00FA1125">
        <w:rPr>
          <w:rFonts w:asciiTheme="minorHAnsi" w:hAnsiTheme="minorHAnsi" w:cstheme="minorHAnsi"/>
          <w:b/>
          <w:sz w:val="28"/>
          <w:szCs w:val="28"/>
        </w:rPr>
        <w:t>“.</w:t>
      </w:r>
    </w:p>
    <w:p w14:paraId="7EF750C4" w14:textId="77777777" w:rsidR="001A5118" w:rsidRDefault="001A5118"/>
    <w:sectPr w:rsidR="001A5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2D"/>
    <w:rsid w:val="00110038"/>
    <w:rsid w:val="001A5118"/>
    <w:rsid w:val="003F3D5B"/>
    <w:rsid w:val="0058788E"/>
    <w:rsid w:val="005D70AE"/>
    <w:rsid w:val="007271D4"/>
    <w:rsid w:val="0088640D"/>
    <w:rsid w:val="00E94D2D"/>
    <w:rsid w:val="00FA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8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A511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A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1003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A511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A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10038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jan.hoffmann</dc:creator>
  <cp:keywords/>
  <dc:description/>
  <cp:lastModifiedBy>jan hoffmann</cp:lastModifiedBy>
  <cp:revision>3</cp:revision>
  <dcterms:created xsi:type="dcterms:W3CDTF">2017-11-20T15:03:00Z</dcterms:created>
  <dcterms:modified xsi:type="dcterms:W3CDTF">2017-11-21T12:57:00Z</dcterms:modified>
</cp:coreProperties>
</file>